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2E4A" w14:textId="77777777" w:rsidR="00411C63" w:rsidRPr="00C42657" w:rsidRDefault="00411C63" w:rsidP="00411C63">
      <w:pPr>
        <w:spacing w:after="0" w:line="240" w:lineRule="auto"/>
        <w:jc w:val="center"/>
        <w:rPr>
          <w:rFonts w:asciiTheme="minorHAnsi" w:hAnsiTheme="minorHAnsi" w:cs="Arial"/>
          <w:b/>
          <w:bCs/>
          <w:sz w:val="28"/>
          <w:szCs w:val="28"/>
        </w:rPr>
      </w:pPr>
      <w:r w:rsidRPr="00C42657">
        <w:rPr>
          <w:rFonts w:asciiTheme="minorHAnsi" w:hAnsiTheme="minorHAnsi" w:cs="Arial"/>
          <w:b/>
          <w:bCs/>
          <w:sz w:val="28"/>
          <w:szCs w:val="28"/>
        </w:rPr>
        <w:t>Language Arts Unit</w:t>
      </w:r>
    </w:p>
    <w:p w14:paraId="16BF8010" w14:textId="03E082FD" w:rsidR="00411C63" w:rsidRPr="00C42657" w:rsidRDefault="00411C63" w:rsidP="00411C63">
      <w:pPr>
        <w:spacing w:after="0" w:line="240" w:lineRule="auto"/>
        <w:jc w:val="center"/>
        <w:rPr>
          <w:rFonts w:asciiTheme="minorHAnsi" w:hAnsiTheme="minorHAnsi" w:cs="Arial"/>
          <w:b/>
          <w:bCs/>
          <w:sz w:val="28"/>
          <w:szCs w:val="28"/>
        </w:rPr>
      </w:pPr>
      <w:r>
        <w:rPr>
          <w:rFonts w:asciiTheme="minorHAnsi" w:hAnsiTheme="minorHAnsi" w:cs="Arial"/>
          <w:b/>
          <w:bCs/>
          <w:sz w:val="28"/>
          <w:szCs w:val="28"/>
        </w:rPr>
        <w:t>Reading Teacher Assessment</w:t>
      </w:r>
    </w:p>
    <w:p w14:paraId="4BA09B9C" w14:textId="77777777" w:rsidR="00411C63" w:rsidRPr="00C42657" w:rsidRDefault="00411C63" w:rsidP="00411C63">
      <w:pPr>
        <w:spacing w:after="0" w:line="240" w:lineRule="auto"/>
        <w:jc w:val="center"/>
        <w:rPr>
          <w:rFonts w:asciiTheme="minorHAnsi" w:hAnsiTheme="minorHAnsi" w:cs="Arial"/>
          <w:sz w:val="28"/>
          <w:szCs w:val="28"/>
        </w:rPr>
      </w:pPr>
      <w:r w:rsidRPr="00C42657">
        <w:rPr>
          <w:rFonts w:asciiTheme="minorHAnsi" w:hAnsiTheme="minorHAnsi" w:cs="Arial"/>
          <w:i/>
          <w:iCs/>
          <w:sz w:val="28"/>
          <w:szCs w:val="28"/>
        </w:rPr>
        <w:t xml:space="preserve">Lily Makes </w:t>
      </w:r>
      <w:proofErr w:type="gramStart"/>
      <w:r w:rsidRPr="00C42657">
        <w:rPr>
          <w:rFonts w:asciiTheme="minorHAnsi" w:hAnsiTheme="minorHAnsi" w:cs="Arial"/>
          <w:i/>
          <w:iCs/>
          <w:sz w:val="28"/>
          <w:szCs w:val="28"/>
        </w:rPr>
        <w:t>A</w:t>
      </w:r>
      <w:proofErr w:type="gramEnd"/>
      <w:r w:rsidRPr="00C42657">
        <w:rPr>
          <w:rFonts w:asciiTheme="minorHAnsi" w:hAnsiTheme="minorHAnsi" w:cs="Arial"/>
          <w:i/>
          <w:iCs/>
          <w:sz w:val="28"/>
          <w:szCs w:val="28"/>
        </w:rPr>
        <w:t xml:space="preserve"> Way, </w:t>
      </w:r>
      <w:r w:rsidRPr="00C42657">
        <w:rPr>
          <w:rFonts w:asciiTheme="minorHAnsi" w:hAnsiTheme="minorHAnsi" w:cs="Arial"/>
          <w:sz w:val="28"/>
          <w:szCs w:val="28"/>
        </w:rPr>
        <w:t>Book 2, Dream Pony Riders by Susan Count</w:t>
      </w:r>
    </w:p>
    <w:p w14:paraId="6B7E998B" w14:textId="77777777" w:rsidR="00411C63" w:rsidRPr="00C42657" w:rsidRDefault="00411C63" w:rsidP="00411C63">
      <w:pPr>
        <w:spacing w:after="0" w:line="240" w:lineRule="auto"/>
        <w:jc w:val="center"/>
        <w:rPr>
          <w:rFonts w:asciiTheme="minorHAnsi" w:hAnsiTheme="minorHAnsi" w:cs="Arial"/>
          <w:sz w:val="28"/>
          <w:szCs w:val="28"/>
        </w:rPr>
      </w:pPr>
    </w:p>
    <w:p w14:paraId="72D55C95" w14:textId="77777777" w:rsidR="00411C63" w:rsidRDefault="00411C63" w:rsidP="00411C63">
      <w:pPr>
        <w:spacing w:after="0" w:line="240" w:lineRule="auto"/>
        <w:jc w:val="center"/>
      </w:pPr>
      <w:hyperlink r:id="rId5" w:history="1">
        <w:r w:rsidRPr="00C42657">
          <w:rPr>
            <w:rStyle w:val="Hyperlink"/>
            <w:rFonts w:asciiTheme="minorHAnsi" w:hAnsiTheme="minorHAnsi" w:cs="Arial"/>
            <w:sz w:val="28"/>
            <w:szCs w:val="28"/>
          </w:rPr>
          <w:t>SusanCountAuthor@yahoo.com</w:t>
        </w:r>
      </w:hyperlink>
    </w:p>
    <w:p w14:paraId="27E57F0B"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 xml:space="preserve">Reading Teacher Assessment: </w:t>
      </w:r>
      <w:r w:rsidRPr="00411C63">
        <w:rPr>
          <w:rFonts w:eastAsia="Times New Roman" w:cs="Times New Roman"/>
          <w:b/>
          <w:bCs/>
          <w:i/>
          <w:iCs/>
          <w:color w:val="000000"/>
          <w:szCs w:val="24"/>
        </w:rPr>
        <w:t xml:space="preserve">Lily Makes </w:t>
      </w:r>
      <w:proofErr w:type="gramStart"/>
      <w:r w:rsidRPr="00411C63">
        <w:rPr>
          <w:rFonts w:eastAsia="Times New Roman" w:cs="Times New Roman"/>
          <w:b/>
          <w:bCs/>
          <w:i/>
          <w:iCs/>
          <w:color w:val="000000"/>
          <w:szCs w:val="24"/>
        </w:rPr>
        <w:t>A</w:t>
      </w:r>
      <w:proofErr w:type="gramEnd"/>
      <w:r w:rsidRPr="00411C63">
        <w:rPr>
          <w:rFonts w:eastAsia="Times New Roman" w:cs="Times New Roman"/>
          <w:b/>
          <w:bCs/>
          <w:i/>
          <w:iCs/>
          <w:color w:val="000000"/>
          <w:szCs w:val="24"/>
        </w:rPr>
        <w:t xml:space="preserve"> Way</w:t>
      </w:r>
      <w:r w:rsidRPr="00411C63">
        <w:rPr>
          <w:rFonts w:eastAsia="Times New Roman" w:cs="Times New Roman"/>
          <w:b/>
          <w:bCs/>
          <w:color w:val="000000"/>
          <w:szCs w:val="24"/>
        </w:rPr>
        <w:t xml:space="preserve"> (Book 2 in the Dream Pony Riders series) by Susan Count</w:t>
      </w:r>
    </w:p>
    <w:p w14:paraId="2A479EF1"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Target Audience Overview</w:t>
      </w:r>
      <w:r w:rsidRPr="00411C63">
        <w:rPr>
          <w:rFonts w:eastAsia="Times New Roman" w:cs="Times New Roman"/>
          <w:color w:val="000000"/>
          <w:szCs w:val="24"/>
        </w:rPr>
        <w:t xml:space="preserve"> This 156-page middle-grade contemporary novel continues the Dream Pony Riders series, targeting horse-loving girls and advanced elementary to early middle-grade readers (ages 9–12, roughly grades 4–7). Like Book 1, it is a brisk, heartfelt chapter book that blends pony passion with real-life challenges. It works well for independent reading, shared read-</w:t>
      </w:r>
      <w:proofErr w:type="spellStart"/>
      <w:r w:rsidRPr="00411C63">
        <w:rPr>
          <w:rFonts w:eastAsia="Times New Roman" w:cs="Times New Roman"/>
          <w:color w:val="000000"/>
          <w:szCs w:val="24"/>
        </w:rPr>
        <w:t>alouds</w:t>
      </w:r>
      <w:proofErr w:type="spellEnd"/>
      <w:r w:rsidRPr="00411C63">
        <w:rPr>
          <w:rFonts w:eastAsia="Times New Roman" w:cs="Times New Roman"/>
          <w:color w:val="000000"/>
          <w:szCs w:val="24"/>
        </w:rPr>
        <w:t>, or family discussions, appealing to readers who enjoyed Abby’s story and want to see familiar characters (like Abby and Lily) navigate new hurdles together.</w:t>
      </w:r>
    </w:p>
    <w:p w14:paraId="18A94424" w14:textId="77777777" w:rsidR="00411C63" w:rsidRPr="00411C63" w:rsidRDefault="00411C63" w:rsidP="00411C63">
      <w:pPr>
        <w:spacing w:before="100" w:beforeAutospacing="1" w:after="100" w:afterAutospacing="1" w:line="240" w:lineRule="auto"/>
        <w:outlineLvl w:val="2"/>
        <w:rPr>
          <w:rFonts w:eastAsia="Times New Roman" w:cs="Times New Roman"/>
          <w:b/>
          <w:bCs/>
          <w:color w:val="000000"/>
          <w:szCs w:val="24"/>
        </w:rPr>
      </w:pPr>
      <w:r w:rsidRPr="00411C63">
        <w:rPr>
          <w:rFonts w:eastAsia="Times New Roman" w:cs="Times New Roman"/>
          <w:b/>
          <w:bCs/>
          <w:color w:val="000000"/>
          <w:szCs w:val="24"/>
        </w:rPr>
        <w:t>Sentence Complexity</w:t>
      </w:r>
    </w:p>
    <w:p w14:paraId="30A7E296"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Sentences maintain the series’ accessible yet engaging flow: a comfortable mix of short, dialogue-driven lines and slightly longer descriptive or reflective passages. Compound and complex structures appear naturally (e.g., “as” clauses, “what if” questions, and emotional reflections), but the average sentence length stays reader-friendly (10–18 words). Dialogue feels authentic and rhythmic, helping build fluency while gently introducing more nuanced syntax.</w:t>
      </w:r>
    </w:p>
    <w:p w14:paraId="33AC4F3D"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Example from the text</w:t>
      </w:r>
      <w:r w:rsidRPr="00411C63">
        <w:rPr>
          <w:rFonts w:eastAsia="Times New Roman" w:cs="Times New Roman"/>
          <w:color w:val="000000"/>
          <w:szCs w:val="24"/>
        </w:rPr>
        <w:t xml:space="preserve"> (friendship and worry scene): “Abby hugged Lily. ‘Whatever happens tonight—Glory and I are here to help.’ ‘Thanks.’ As she pulled away and wiped her tears, Lily realized the time. ‘</w:t>
      </w:r>
      <w:proofErr w:type="spellStart"/>
      <w:r w:rsidRPr="00411C63">
        <w:rPr>
          <w:rFonts w:eastAsia="Times New Roman" w:cs="Times New Roman"/>
          <w:color w:val="000000"/>
          <w:szCs w:val="24"/>
        </w:rPr>
        <w:t>Agh</w:t>
      </w:r>
      <w:proofErr w:type="spellEnd"/>
      <w:r w:rsidRPr="00411C63">
        <w:rPr>
          <w:rFonts w:eastAsia="Times New Roman" w:cs="Times New Roman"/>
          <w:color w:val="000000"/>
          <w:szCs w:val="24"/>
        </w:rPr>
        <w:t>! It’s late. I want to get home to help with dinner.’ She hurried to lead China into the barn.”</w:t>
      </w:r>
    </w:p>
    <w:p w14:paraId="74689A38"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This style supports transitioning readers without frustration and mirrors the pacing of Book 1—ideal for 4th–6th grade independent readers.</w:t>
      </w:r>
    </w:p>
    <w:p w14:paraId="6BF145FC" w14:textId="77777777" w:rsidR="00411C63" w:rsidRPr="00411C63" w:rsidRDefault="00411C63" w:rsidP="00411C63">
      <w:pPr>
        <w:spacing w:before="100" w:beforeAutospacing="1" w:after="100" w:afterAutospacing="1" w:line="240" w:lineRule="auto"/>
        <w:outlineLvl w:val="2"/>
        <w:rPr>
          <w:rFonts w:eastAsia="Times New Roman" w:cs="Times New Roman"/>
          <w:b/>
          <w:bCs/>
          <w:color w:val="000000"/>
          <w:szCs w:val="24"/>
        </w:rPr>
      </w:pPr>
      <w:r w:rsidRPr="00411C63">
        <w:rPr>
          <w:rFonts w:eastAsia="Times New Roman" w:cs="Times New Roman"/>
          <w:b/>
          <w:bCs/>
          <w:color w:val="000000"/>
          <w:szCs w:val="24"/>
        </w:rPr>
        <w:t>Vocabulary</w:t>
      </w:r>
    </w:p>
    <w:p w14:paraId="2216C744"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Vocabulary remains age-appropriate and tiered for middle-grade readers: everyday words paired with meaningful Tier 2 terms (</w:t>
      </w:r>
      <w:r w:rsidRPr="00411C63">
        <w:rPr>
          <w:rFonts w:eastAsia="Times New Roman" w:cs="Times New Roman"/>
          <w:i/>
          <w:iCs/>
          <w:color w:val="000000"/>
          <w:szCs w:val="24"/>
        </w:rPr>
        <w:t>perseverance</w:t>
      </w:r>
      <w:r w:rsidRPr="00411C63">
        <w:rPr>
          <w:rFonts w:eastAsia="Times New Roman" w:cs="Times New Roman"/>
          <w:color w:val="000000"/>
          <w:szCs w:val="24"/>
        </w:rPr>
        <w:t xml:space="preserve">, </w:t>
      </w:r>
      <w:r w:rsidRPr="00411C63">
        <w:rPr>
          <w:rFonts w:eastAsia="Times New Roman" w:cs="Times New Roman"/>
          <w:i/>
          <w:iCs/>
          <w:color w:val="000000"/>
          <w:szCs w:val="24"/>
        </w:rPr>
        <w:t>adversity</w:t>
      </w:r>
      <w:r w:rsidRPr="00411C63">
        <w:rPr>
          <w:rFonts w:eastAsia="Times New Roman" w:cs="Times New Roman"/>
          <w:color w:val="000000"/>
          <w:szCs w:val="24"/>
        </w:rPr>
        <w:t xml:space="preserve">, </w:t>
      </w:r>
      <w:r w:rsidRPr="00411C63">
        <w:rPr>
          <w:rFonts w:eastAsia="Times New Roman" w:cs="Times New Roman"/>
          <w:i/>
          <w:iCs/>
          <w:color w:val="000000"/>
          <w:szCs w:val="24"/>
        </w:rPr>
        <w:t>strain</w:t>
      </w:r>
      <w:r w:rsidRPr="00411C63">
        <w:rPr>
          <w:rFonts w:eastAsia="Times New Roman" w:cs="Times New Roman"/>
          <w:color w:val="000000"/>
          <w:szCs w:val="24"/>
        </w:rPr>
        <w:t xml:space="preserve">, </w:t>
      </w:r>
      <w:r w:rsidRPr="00411C63">
        <w:rPr>
          <w:rFonts w:eastAsia="Times New Roman" w:cs="Times New Roman"/>
          <w:i/>
          <w:iCs/>
          <w:color w:val="000000"/>
          <w:szCs w:val="24"/>
        </w:rPr>
        <w:t>mild-mannered</w:t>
      </w:r>
      <w:r w:rsidRPr="00411C63">
        <w:rPr>
          <w:rFonts w:eastAsia="Times New Roman" w:cs="Times New Roman"/>
          <w:color w:val="000000"/>
          <w:szCs w:val="24"/>
        </w:rPr>
        <w:t>) and domain-specific equestrian language (</w:t>
      </w:r>
      <w:r w:rsidRPr="00411C63">
        <w:rPr>
          <w:rFonts w:eastAsia="Times New Roman" w:cs="Times New Roman"/>
          <w:i/>
          <w:iCs/>
          <w:color w:val="000000"/>
          <w:szCs w:val="24"/>
        </w:rPr>
        <w:t>untacked</w:t>
      </w:r>
      <w:r w:rsidRPr="00411C63">
        <w:rPr>
          <w:rFonts w:eastAsia="Times New Roman" w:cs="Times New Roman"/>
          <w:color w:val="000000"/>
          <w:szCs w:val="24"/>
        </w:rPr>
        <w:t xml:space="preserve">, </w:t>
      </w:r>
      <w:r w:rsidRPr="00411C63">
        <w:rPr>
          <w:rFonts w:eastAsia="Times New Roman" w:cs="Times New Roman"/>
          <w:i/>
          <w:iCs/>
          <w:color w:val="000000"/>
          <w:szCs w:val="24"/>
        </w:rPr>
        <w:t>mare</w:t>
      </w:r>
      <w:r w:rsidRPr="00411C63">
        <w:rPr>
          <w:rFonts w:eastAsia="Times New Roman" w:cs="Times New Roman"/>
          <w:color w:val="000000"/>
          <w:szCs w:val="24"/>
        </w:rPr>
        <w:t xml:space="preserve">, </w:t>
      </w:r>
      <w:r w:rsidRPr="00411C63">
        <w:rPr>
          <w:rFonts w:eastAsia="Times New Roman" w:cs="Times New Roman"/>
          <w:i/>
          <w:iCs/>
          <w:color w:val="000000"/>
          <w:szCs w:val="24"/>
        </w:rPr>
        <w:t>injury recovery</w:t>
      </w:r>
      <w:r w:rsidRPr="00411C63">
        <w:rPr>
          <w:rFonts w:eastAsia="Times New Roman" w:cs="Times New Roman"/>
          <w:color w:val="000000"/>
          <w:szCs w:val="24"/>
        </w:rPr>
        <w:t xml:space="preserve">, </w:t>
      </w:r>
      <w:r w:rsidRPr="00411C63">
        <w:rPr>
          <w:rFonts w:eastAsia="Times New Roman" w:cs="Times New Roman"/>
          <w:i/>
          <w:iCs/>
          <w:color w:val="000000"/>
          <w:szCs w:val="24"/>
        </w:rPr>
        <w:t>pony anatomy</w:t>
      </w:r>
      <w:r w:rsidRPr="00411C63">
        <w:rPr>
          <w:rFonts w:eastAsia="Times New Roman" w:cs="Times New Roman"/>
          <w:color w:val="000000"/>
          <w:szCs w:val="24"/>
        </w:rPr>
        <w:t>). New words emerge naturally through context and character conversations rather than lists or definitions in the narrative.</w:t>
      </w:r>
    </w:p>
    <w:p w14:paraId="5EE732C6"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A glossary of horse terms and a labeled horse anatomy diagram in the back matter provide strong scaffolding—especially helpful for readers deepening their equine knowledge. Facts about horse care and health are woven seamlessly, making the book both entertaining and quietly educational. Overall difficulty aligns with 4th–6th grade expectations, consistent with the series.</w:t>
      </w:r>
    </w:p>
    <w:p w14:paraId="6693C32C" w14:textId="77777777" w:rsidR="00411C63" w:rsidRPr="00411C63" w:rsidRDefault="00411C63" w:rsidP="00411C63">
      <w:pPr>
        <w:spacing w:before="100" w:beforeAutospacing="1" w:after="100" w:afterAutospacing="1" w:line="240" w:lineRule="auto"/>
        <w:outlineLvl w:val="2"/>
        <w:rPr>
          <w:rFonts w:eastAsia="Times New Roman" w:cs="Times New Roman"/>
          <w:b/>
          <w:bCs/>
          <w:color w:val="000000"/>
          <w:szCs w:val="24"/>
        </w:rPr>
      </w:pPr>
      <w:r w:rsidRPr="00411C63">
        <w:rPr>
          <w:rFonts w:eastAsia="Times New Roman" w:cs="Times New Roman"/>
          <w:b/>
          <w:bCs/>
          <w:color w:val="000000"/>
          <w:szCs w:val="24"/>
        </w:rPr>
        <w:t>Text Features</w:t>
      </w:r>
    </w:p>
    <w:p w14:paraId="4DB368BE" w14:textId="77777777" w:rsidR="00411C63" w:rsidRPr="00411C63" w:rsidRDefault="00411C63" w:rsidP="00411C63">
      <w:pPr>
        <w:numPr>
          <w:ilvl w:val="0"/>
          <w:numId w:val="1"/>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Format</w:t>
      </w:r>
      <w:r w:rsidRPr="00411C63">
        <w:rPr>
          <w:rFonts w:eastAsia="Times New Roman" w:cs="Times New Roman"/>
          <w:color w:val="000000"/>
          <w:szCs w:val="24"/>
        </w:rPr>
        <w:t>: Clean chapter-book layout with short-to-medium chapters that maintain quick pacing.</w:t>
      </w:r>
    </w:p>
    <w:p w14:paraId="76C6213A" w14:textId="77777777" w:rsidR="00411C63" w:rsidRPr="00411C63" w:rsidRDefault="00411C63" w:rsidP="00411C63">
      <w:pPr>
        <w:numPr>
          <w:ilvl w:val="0"/>
          <w:numId w:val="1"/>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Illustrations</w:t>
      </w:r>
      <w:r w:rsidRPr="00411C63">
        <w:rPr>
          <w:rFonts w:eastAsia="Times New Roman" w:cs="Times New Roman"/>
          <w:color w:val="000000"/>
          <w:szCs w:val="24"/>
        </w:rPr>
        <w:t>: Black-and-white cameo illustrations by Bev Johnson add emotional depth and visual interest throughout, just as in Book 1.</w:t>
      </w:r>
    </w:p>
    <w:p w14:paraId="29F5B6F7" w14:textId="77777777" w:rsidR="00411C63" w:rsidRPr="00411C63" w:rsidRDefault="00411C63" w:rsidP="00411C63">
      <w:pPr>
        <w:numPr>
          <w:ilvl w:val="0"/>
          <w:numId w:val="1"/>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Back Matter</w:t>
      </w:r>
      <w:r w:rsidRPr="00411C63">
        <w:rPr>
          <w:rFonts w:eastAsia="Times New Roman" w:cs="Times New Roman"/>
          <w:color w:val="000000"/>
          <w:szCs w:val="24"/>
        </w:rPr>
        <w:t>: Helpful glossary of horse terms and a detailed horse anatomy diagram support learning and reference.</w:t>
      </w:r>
    </w:p>
    <w:p w14:paraId="5278F62D" w14:textId="77777777" w:rsidR="00411C63" w:rsidRPr="00411C63" w:rsidRDefault="00411C63" w:rsidP="00411C63">
      <w:pPr>
        <w:numPr>
          <w:ilvl w:val="0"/>
          <w:numId w:val="1"/>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Other</w:t>
      </w:r>
      <w:r w:rsidRPr="00411C63">
        <w:rPr>
          <w:rFonts w:eastAsia="Times New Roman" w:cs="Times New Roman"/>
          <w:color w:val="000000"/>
          <w:szCs w:val="24"/>
        </w:rPr>
        <w:t>: Reader-friendly font and spacing; inspirational/faith-tinged character elements (consistent with the series) add subtle motivational layers without overwhelming the story.</w:t>
      </w:r>
    </w:p>
    <w:p w14:paraId="0588EB07"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These supportive features make the book especially welcoming for visual learners, reluctant readers, and horse enthusiasts building background knowledge.</w:t>
      </w:r>
    </w:p>
    <w:p w14:paraId="70AD1460" w14:textId="77777777" w:rsidR="00411C63" w:rsidRPr="00411C63" w:rsidRDefault="00411C63" w:rsidP="00411C63">
      <w:pPr>
        <w:spacing w:before="100" w:beforeAutospacing="1" w:after="100" w:afterAutospacing="1" w:line="240" w:lineRule="auto"/>
        <w:outlineLvl w:val="2"/>
        <w:rPr>
          <w:rFonts w:eastAsia="Times New Roman" w:cs="Times New Roman"/>
          <w:b/>
          <w:bCs/>
          <w:color w:val="000000"/>
          <w:szCs w:val="24"/>
        </w:rPr>
      </w:pPr>
      <w:r w:rsidRPr="00411C63">
        <w:rPr>
          <w:rFonts w:eastAsia="Times New Roman" w:cs="Times New Roman"/>
          <w:b/>
          <w:bCs/>
          <w:color w:val="000000"/>
          <w:szCs w:val="24"/>
        </w:rPr>
        <w:t>Thematic Complexity</w:t>
      </w:r>
    </w:p>
    <w:p w14:paraId="3AF3A6DA"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Themes deepen the series’ focus on pony love while introducing more emotionally layered challenges: perseverance through adversity, family priorities over personal desires, difficult choices (including the possibility of letting go), financial stress, friendship as teamwork, compassion, and self-reliance. Lily’s arc centers on a mild-mannered girl finding inner strength when her beloved pony China is injured and family pressures mount—realistic stakes that feel authentic rather than dramatic.</w:t>
      </w:r>
    </w:p>
    <w:p w14:paraId="3054DC54"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Subtle faith elements and SEL skills (empathy, resilience, ethical decision-making) are integrated naturally, encouraging thoughtful discussions. The story models “finding a way” through tough situations without preachiness, making themes moderately complex—relatable and discussion-rich for ages 9–12 but still age-appropriate and hopeful.</w:t>
      </w:r>
    </w:p>
    <w:p w14:paraId="429541E8" w14:textId="77777777" w:rsidR="00411C63" w:rsidRPr="00411C63" w:rsidRDefault="00411C63" w:rsidP="00411C63">
      <w:pPr>
        <w:spacing w:before="100" w:beforeAutospacing="1" w:after="100" w:afterAutospacing="1" w:line="240" w:lineRule="auto"/>
        <w:outlineLvl w:val="2"/>
        <w:rPr>
          <w:rFonts w:eastAsia="Times New Roman" w:cs="Times New Roman"/>
          <w:b/>
          <w:bCs/>
          <w:color w:val="000000"/>
          <w:szCs w:val="24"/>
        </w:rPr>
      </w:pPr>
      <w:r w:rsidRPr="00411C63">
        <w:rPr>
          <w:rFonts w:eastAsia="Times New Roman" w:cs="Times New Roman"/>
          <w:b/>
          <w:bCs/>
          <w:color w:val="000000"/>
          <w:szCs w:val="24"/>
        </w:rPr>
        <w:t>Comparison Benchmarks</w:t>
      </w:r>
    </w:p>
    <w:p w14:paraId="730E2E61" w14:textId="77777777" w:rsidR="00411C63" w:rsidRPr="00411C63" w:rsidRDefault="00411C63" w:rsidP="00411C63">
      <w:pPr>
        <w:numPr>
          <w:ilvl w:val="0"/>
          <w:numId w:val="2"/>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Similar Titles</w:t>
      </w:r>
      <w:r w:rsidRPr="00411C63">
        <w:rPr>
          <w:rFonts w:eastAsia="Times New Roman" w:cs="Times New Roman"/>
          <w:color w:val="000000"/>
          <w:szCs w:val="24"/>
        </w:rPr>
        <w:t>: A natural sequel to </w:t>
      </w:r>
      <w:r w:rsidRPr="00411C63">
        <w:rPr>
          <w:rFonts w:eastAsia="Times New Roman" w:cs="Times New Roman"/>
          <w:i/>
          <w:iCs/>
          <w:color w:val="000000"/>
          <w:szCs w:val="24"/>
        </w:rPr>
        <w:t>Abby’s Pony Love</w:t>
      </w:r>
      <w:r w:rsidRPr="00411C63">
        <w:rPr>
          <w:rFonts w:eastAsia="Times New Roman" w:cs="Times New Roman"/>
          <w:color w:val="000000"/>
          <w:szCs w:val="24"/>
        </w:rPr>
        <w:t> (Book 1), sharing the same warm, character-driven style. It aligns with other wholesome middle-grade horse series such as </w:t>
      </w:r>
      <w:r w:rsidRPr="00411C63">
        <w:rPr>
          <w:rFonts w:eastAsia="Times New Roman" w:cs="Times New Roman"/>
          <w:i/>
          <w:iCs/>
          <w:color w:val="000000"/>
          <w:szCs w:val="24"/>
        </w:rPr>
        <w:t>The Saddle Club</w:t>
      </w:r>
      <w:r w:rsidRPr="00411C63">
        <w:rPr>
          <w:rFonts w:eastAsia="Times New Roman" w:cs="Times New Roman"/>
          <w:color w:val="000000"/>
          <w:szCs w:val="24"/>
        </w:rPr>
        <w:t> or modern pony-focused stories, but with a stronger emphasis on family dynamics and real-world obstacles.</w:t>
      </w:r>
    </w:p>
    <w:p w14:paraId="02163BEC" w14:textId="77777777" w:rsidR="00411C63" w:rsidRPr="00411C63" w:rsidRDefault="00411C63" w:rsidP="00411C63">
      <w:pPr>
        <w:numPr>
          <w:ilvl w:val="0"/>
          <w:numId w:val="2"/>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Reading Level Parallels</w:t>
      </w:r>
      <w:r w:rsidRPr="00411C63">
        <w:rPr>
          <w:rFonts w:eastAsia="Times New Roman" w:cs="Times New Roman"/>
          <w:color w:val="000000"/>
          <w:szCs w:val="24"/>
        </w:rPr>
        <w:t>: Slightly more emotionally layered than Book 1 yet equally accessible—comparable to select titles by Bonnie Bryant or Marguerite Henry-inspired contemporary tales. It sits comfortably between early chapter books and denser animal fiction.</w:t>
      </w:r>
    </w:p>
    <w:p w14:paraId="2A0589CD" w14:textId="77777777" w:rsidR="00411C63" w:rsidRPr="00411C63" w:rsidRDefault="00411C63" w:rsidP="00411C63">
      <w:pPr>
        <w:numPr>
          <w:ilvl w:val="0"/>
          <w:numId w:val="2"/>
        </w:num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Reader Fit</w:t>
      </w:r>
      <w:r w:rsidRPr="00411C63">
        <w:rPr>
          <w:rFonts w:eastAsia="Times New Roman" w:cs="Times New Roman"/>
          <w:color w:val="000000"/>
          <w:szCs w:val="24"/>
        </w:rPr>
        <w:t>: Perfect follow-up for fans of Book 1 or any realistic animal fiction. Reviews highlight it as “cute,” “beautifully written,” and ideal for young horse lovers who appreciate stories blending facts, friendship, and heartfelt growth.</w:t>
      </w:r>
    </w:p>
    <w:p w14:paraId="318458BD" w14:textId="77777777" w:rsidR="00411C63" w:rsidRPr="00411C63" w:rsidRDefault="00411C63" w:rsidP="00411C63">
      <w:pPr>
        <w:spacing w:before="100" w:beforeAutospacing="1" w:after="100" w:afterAutospacing="1" w:line="240" w:lineRule="auto"/>
        <w:outlineLvl w:val="2"/>
        <w:rPr>
          <w:rFonts w:eastAsia="Times New Roman" w:cs="Times New Roman"/>
          <w:b/>
          <w:bCs/>
          <w:color w:val="000000"/>
          <w:szCs w:val="24"/>
        </w:rPr>
      </w:pPr>
      <w:r w:rsidRPr="00411C63">
        <w:rPr>
          <w:rFonts w:eastAsia="Times New Roman" w:cs="Times New Roman"/>
          <w:b/>
          <w:bCs/>
          <w:color w:val="000000"/>
          <w:szCs w:val="24"/>
        </w:rPr>
        <w:t>The Bottom Line for Reading Library Shelving Purposes</w:t>
      </w:r>
    </w:p>
    <w:p w14:paraId="3D4D1E48"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b/>
          <w:bCs/>
          <w:color w:val="000000"/>
          <w:szCs w:val="24"/>
        </w:rPr>
        <w:t>Recommended Shelving</w:t>
      </w:r>
      <w:r w:rsidRPr="00411C63">
        <w:rPr>
          <w:rFonts w:eastAsia="Times New Roman" w:cs="Times New Roman"/>
          <w:color w:val="000000"/>
          <w:szCs w:val="24"/>
        </w:rPr>
        <w:t xml:space="preserve">: Juvenile Fiction / Middle Grade / Animals (Horses &amp; Ponies) section—right beside Book 1. </w:t>
      </w:r>
      <w:r w:rsidRPr="00411C63">
        <w:rPr>
          <w:rFonts w:eastAsia="Times New Roman" w:cs="Times New Roman"/>
          <w:b/>
          <w:bCs/>
          <w:color w:val="000000"/>
          <w:szCs w:val="24"/>
        </w:rPr>
        <w:t>Independent Reading Level</w:t>
      </w:r>
      <w:r w:rsidRPr="00411C63">
        <w:rPr>
          <w:rFonts w:eastAsia="Times New Roman" w:cs="Times New Roman"/>
          <w:color w:val="000000"/>
          <w:szCs w:val="24"/>
        </w:rPr>
        <w:t xml:space="preserve">: Grades 4–6 (strong 3rd/4th-grade readers can handle it independently; supportive features help). </w:t>
      </w:r>
      <w:r w:rsidRPr="00411C63">
        <w:rPr>
          <w:rFonts w:eastAsia="Times New Roman" w:cs="Times New Roman"/>
          <w:b/>
          <w:bCs/>
          <w:color w:val="000000"/>
          <w:szCs w:val="24"/>
        </w:rPr>
        <w:t>Read-Aloud Level</w:t>
      </w:r>
      <w:r w:rsidRPr="00411C63">
        <w:rPr>
          <w:rFonts w:eastAsia="Times New Roman" w:cs="Times New Roman"/>
          <w:color w:val="000000"/>
          <w:szCs w:val="24"/>
        </w:rPr>
        <w:t xml:space="preserve">: Grades 3–5 (great for classroom or family sharing, sparking conversations about resilience and choices). </w:t>
      </w:r>
      <w:r w:rsidRPr="00411C63">
        <w:rPr>
          <w:rFonts w:eastAsia="Times New Roman" w:cs="Times New Roman"/>
          <w:b/>
          <w:bCs/>
          <w:color w:val="000000"/>
          <w:szCs w:val="24"/>
        </w:rPr>
        <w:t>Age/Grade Range</w:t>
      </w:r>
      <w:r w:rsidRPr="00411C63">
        <w:rPr>
          <w:rFonts w:eastAsia="Times New Roman" w:cs="Times New Roman"/>
          <w:color w:val="000000"/>
          <w:szCs w:val="24"/>
        </w:rPr>
        <w:t xml:space="preserve">: Ages 9–12 (core audience 9–11); appeals especially to horse-crazy girls but offers universal lessons for all. </w:t>
      </w:r>
      <w:r w:rsidRPr="00411C63">
        <w:rPr>
          <w:rFonts w:eastAsia="Times New Roman" w:cs="Times New Roman"/>
          <w:b/>
          <w:bCs/>
          <w:color w:val="000000"/>
          <w:szCs w:val="24"/>
        </w:rPr>
        <w:t>Why It Fits</w:t>
      </w:r>
      <w:r w:rsidRPr="00411C63">
        <w:rPr>
          <w:rFonts w:eastAsia="Times New Roman" w:cs="Times New Roman"/>
          <w:color w:val="000000"/>
          <w:szCs w:val="24"/>
        </w:rPr>
        <w:t>: At 156 pages with the same supportive visuals, glossary, and quick pacing as Book 1, it delivers emotional depth without added complexity. The focus on perseverance, family, and equine health makes it a high-circulation choice for library shelves—excellent for reluctant readers, animal lovers, or anyone seeking inspiring, wholesome fiction with real heart.</w:t>
      </w:r>
    </w:p>
    <w:p w14:paraId="528F7EE8" w14:textId="77777777" w:rsidR="00411C63" w:rsidRPr="00411C63" w:rsidRDefault="00411C63" w:rsidP="00411C63">
      <w:pPr>
        <w:spacing w:before="100" w:beforeAutospacing="1" w:after="100" w:afterAutospacing="1" w:line="240" w:lineRule="auto"/>
        <w:rPr>
          <w:rFonts w:eastAsia="Times New Roman" w:cs="Times New Roman"/>
          <w:color w:val="000000"/>
          <w:szCs w:val="24"/>
        </w:rPr>
      </w:pPr>
      <w:r w:rsidRPr="00411C63">
        <w:rPr>
          <w:rFonts w:eastAsia="Times New Roman" w:cs="Times New Roman"/>
          <w:color w:val="000000"/>
          <w:szCs w:val="24"/>
        </w:rPr>
        <w:t>This installment keeps the Dream Pony Riders series strong: accessible, uplifting, and pony-perfect!</w:t>
      </w:r>
    </w:p>
    <w:p w14:paraId="47C7F140" w14:textId="77777777" w:rsidR="00411C63" w:rsidRPr="00411C63" w:rsidRDefault="00411C63" w:rsidP="00411C63">
      <w:pPr>
        <w:spacing w:after="0" w:line="240" w:lineRule="auto"/>
        <w:jc w:val="center"/>
        <w:rPr>
          <w:rFonts w:asciiTheme="minorHAnsi" w:hAnsiTheme="minorHAnsi" w:cs="Arial"/>
          <w:szCs w:val="24"/>
        </w:rPr>
      </w:pPr>
    </w:p>
    <w:p w14:paraId="49DAB061" w14:textId="77777777" w:rsidR="00813041" w:rsidRPr="00411C63" w:rsidRDefault="00813041">
      <w:pPr>
        <w:rPr>
          <w:szCs w:val="24"/>
        </w:rPr>
      </w:pPr>
    </w:p>
    <w:sectPr w:rsidR="00813041" w:rsidRPr="00411C63"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85B"/>
    <w:multiLevelType w:val="multilevel"/>
    <w:tmpl w:val="1B36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22E1E"/>
    <w:multiLevelType w:val="multilevel"/>
    <w:tmpl w:val="F1C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656587">
    <w:abstractNumId w:val="1"/>
  </w:num>
  <w:num w:numId="2" w16cid:durableId="1400178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63"/>
    <w:rsid w:val="00195188"/>
    <w:rsid w:val="002C6456"/>
    <w:rsid w:val="00410D92"/>
    <w:rsid w:val="00411C63"/>
    <w:rsid w:val="00481D58"/>
    <w:rsid w:val="00542A72"/>
    <w:rsid w:val="00813041"/>
    <w:rsid w:val="009C67F0"/>
    <w:rsid w:val="00B8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B80823"/>
  <w15:chartTrackingRefBased/>
  <w15:docId w15:val="{F08B562C-93DC-C34C-889A-5A7F4AC8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63"/>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411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11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1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C63"/>
    <w:rPr>
      <w:rFonts w:eastAsiaTheme="majorEastAsia" w:cstheme="majorBidi"/>
      <w:color w:val="272727" w:themeColor="text1" w:themeTint="D8"/>
    </w:rPr>
  </w:style>
  <w:style w:type="paragraph" w:styleId="Title">
    <w:name w:val="Title"/>
    <w:basedOn w:val="Normal"/>
    <w:next w:val="Normal"/>
    <w:link w:val="TitleChar"/>
    <w:uiPriority w:val="10"/>
    <w:qFormat/>
    <w:rsid w:val="00411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C63"/>
    <w:pPr>
      <w:spacing w:before="160"/>
      <w:jc w:val="center"/>
    </w:pPr>
    <w:rPr>
      <w:i/>
      <w:iCs/>
      <w:color w:val="404040" w:themeColor="text1" w:themeTint="BF"/>
    </w:rPr>
  </w:style>
  <w:style w:type="character" w:customStyle="1" w:styleId="QuoteChar">
    <w:name w:val="Quote Char"/>
    <w:basedOn w:val="DefaultParagraphFont"/>
    <w:link w:val="Quote"/>
    <w:uiPriority w:val="29"/>
    <w:rsid w:val="00411C63"/>
    <w:rPr>
      <w:i/>
      <w:iCs/>
      <w:color w:val="404040" w:themeColor="text1" w:themeTint="BF"/>
    </w:rPr>
  </w:style>
  <w:style w:type="paragraph" w:styleId="ListParagraph">
    <w:name w:val="List Paragraph"/>
    <w:basedOn w:val="Normal"/>
    <w:uiPriority w:val="34"/>
    <w:qFormat/>
    <w:rsid w:val="00411C63"/>
    <w:pPr>
      <w:ind w:left="720"/>
      <w:contextualSpacing/>
    </w:pPr>
  </w:style>
  <w:style w:type="character" w:styleId="IntenseEmphasis">
    <w:name w:val="Intense Emphasis"/>
    <w:basedOn w:val="DefaultParagraphFont"/>
    <w:uiPriority w:val="21"/>
    <w:qFormat/>
    <w:rsid w:val="00411C63"/>
    <w:rPr>
      <w:i/>
      <w:iCs/>
      <w:color w:val="0F4761" w:themeColor="accent1" w:themeShade="BF"/>
    </w:rPr>
  </w:style>
  <w:style w:type="paragraph" w:styleId="IntenseQuote">
    <w:name w:val="Intense Quote"/>
    <w:basedOn w:val="Normal"/>
    <w:next w:val="Normal"/>
    <w:link w:val="IntenseQuoteChar"/>
    <w:uiPriority w:val="30"/>
    <w:qFormat/>
    <w:rsid w:val="00411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C63"/>
    <w:rPr>
      <w:i/>
      <w:iCs/>
      <w:color w:val="0F4761" w:themeColor="accent1" w:themeShade="BF"/>
    </w:rPr>
  </w:style>
  <w:style w:type="character" w:styleId="IntenseReference">
    <w:name w:val="Intense Reference"/>
    <w:basedOn w:val="DefaultParagraphFont"/>
    <w:uiPriority w:val="32"/>
    <w:qFormat/>
    <w:rsid w:val="00411C63"/>
    <w:rPr>
      <w:b/>
      <w:bCs/>
      <w:smallCaps/>
      <w:color w:val="0F4761" w:themeColor="accent1" w:themeShade="BF"/>
      <w:spacing w:val="5"/>
    </w:rPr>
  </w:style>
  <w:style w:type="character" w:styleId="Hyperlink">
    <w:name w:val="Hyperlink"/>
    <w:basedOn w:val="DefaultParagraphFont"/>
    <w:uiPriority w:val="99"/>
    <w:unhideWhenUsed/>
    <w:rsid w:val="00411C63"/>
    <w:rPr>
      <w:color w:val="467886" w:themeColor="hyperlink"/>
      <w:u w:val="single"/>
    </w:rPr>
  </w:style>
  <w:style w:type="paragraph" w:styleId="NormalWeb">
    <w:name w:val="Normal (Web)"/>
    <w:basedOn w:val="Normal"/>
    <w:uiPriority w:val="99"/>
    <w:semiHidden/>
    <w:unhideWhenUsed/>
    <w:rsid w:val="00411C6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411C63"/>
    <w:rPr>
      <w:b/>
      <w:bCs/>
    </w:rPr>
  </w:style>
  <w:style w:type="character" w:styleId="Emphasis">
    <w:name w:val="Emphasis"/>
    <w:basedOn w:val="DefaultParagraphFont"/>
    <w:uiPriority w:val="20"/>
    <w:qFormat/>
    <w:rsid w:val="00411C63"/>
    <w:rPr>
      <w:i/>
      <w:iCs/>
    </w:rPr>
  </w:style>
  <w:style w:type="character" w:customStyle="1" w:styleId="apple-converted-space">
    <w:name w:val="apple-converted-space"/>
    <w:basedOn w:val="DefaultParagraphFont"/>
    <w:rsid w:val="00411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994</Words>
  <Characters>4916</Characters>
  <Application>Microsoft Office Word</Application>
  <DocSecurity>0</DocSecurity>
  <Lines>175</Lines>
  <Paragraphs>86</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2026-03-28T21:32:00Z</dcterms:created>
  <dcterms:modified xsi:type="dcterms:W3CDTF">2026-03-28T21:37:00Z</dcterms:modified>
</cp:coreProperties>
</file>